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ascii="黑体" w:hAnsi="黑体" w:eastAsia="黑体"/>
          <w:szCs w:val="32"/>
        </w:rPr>
        <w:t>2</w:t>
      </w:r>
    </w:p>
    <w:p>
      <w:pPr>
        <w:spacing w:line="560" w:lineRule="exact"/>
        <w:rPr>
          <w:rFonts w:ascii="Times New Roman" w:eastAsia="黑体"/>
          <w:szCs w:val="32"/>
        </w:rPr>
      </w:pPr>
    </w:p>
    <w:p>
      <w:pPr>
        <w:spacing w:line="560" w:lineRule="exact"/>
        <w:jc w:val="center"/>
        <w:rPr>
          <w:rFonts w:ascii="Times New Roman" w:eastAsia="方正小标宋简体"/>
          <w:sz w:val="44"/>
          <w:szCs w:val="44"/>
        </w:rPr>
      </w:pPr>
      <w:r>
        <w:rPr>
          <w:rFonts w:hint="eastAsia" w:ascii="Times New Roman" w:eastAsia="方正小标宋简体"/>
          <w:sz w:val="44"/>
          <w:szCs w:val="44"/>
        </w:rPr>
        <w:t>烟台市人才公寓线上分配综合评分表</w:t>
      </w:r>
    </w:p>
    <w:p>
      <w:pPr>
        <w:spacing w:line="560" w:lineRule="exact"/>
        <w:jc w:val="center"/>
        <w:rPr>
          <w:rFonts w:ascii="Times New Roman" w:eastAsia="方正小标宋简体"/>
          <w:szCs w:val="32"/>
        </w:rPr>
      </w:pPr>
    </w:p>
    <w:tbl>
      <w:tblPr>
        <w:tblStyle w:val="2"/>
        <w:tblpPr w:leftFromText="180" w:rightFromText="180" w:vertAnchor="text" w:horzAnchor="page" w:tblpXSpec="center" w:tblpY="74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4691"/>
        <w:gridCol w:w="1168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83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楷体_GB2312"/>
                <w:sz w:val="36"/>
                <w:szCs w:val="36"/>
              </w:rPr>
            </w:pPr>
            <w:r>
              <w:rPr>
                <w:rFonts w:hint="eastAsia" w:ascii="Times New Roman" w:eastAsia="黑体"/>
                <w:sz w:val="24"/>
                <w:szCs w:val="24"/>
              </w:rPr>
              <w:t>一级指标</w:t>
            </w:r>
          </w:p>
        </w:tc>
        <w:tc>
          <w:tcPr>
            <w:tcW w:w="275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黑体"/>
                <w:sz w:val="24"/>
                <w:szCs w:val="24"/>
              </w:rPr>
            </w:pPr>
            <w:r>
              <w:rPr>
                <w:rFonts w:hint="eastAsia" w:ascii="Times New Roman" w:eastAsia="黑体"/>
                <w:sz w:val="24"/>
                <w:szCs w:val="24"/>
              </w:rPr>
              <w:t>二级指标</w:t>
            </w:r>
          </w:p>
        </w:tc>
        <w:tc>
          <w:tcPr>
            <w:tcW w:w="68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黑体"/>
                <w:sz w:val="24"/>
                <w:szCs w:val="24"/>
              </w:rPr>
            </w:pPr>
            <w:r>
              <w:rPr>
                <w:rFonts w:hint="eastAsia" w:ascii="Times New Roman" w:eastAsia="黑体"/>
                <w:sz w:val="24"/>
                <w:szCs w:val="24"/>
              </w:rPr>
              <w:t>得分</w:t>
            </w:r>
          </w:p>
        </w:tc>
        <w:tc>
          <w:tcPr>
            <w:tcW w:w="72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黑体"/>
                <w:sz w:val="24"/>
                <w:szCs w:val="24"/>
              </w:rPr>
            </w:pPr>
            <w:r>
              <w:rPr>
                <w:rFonts w:hint="eastAsia" w:ascii="Times New Roman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34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学历类人才</w:t>
            </w:r>
          </w:p>
        </w:tc>
        <w:tc>
          <w:tcPr>
            <w:tcW w:w="2752" w:type="pct"/>
            <w:vAlign w:val="center"/>
          </w:tcPr>
          <w:p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博士研究生</w:t>
            </w:r>
          </w:p>
        </w:tc>
        <w:tc>
          <w:tcPr>
            <w:tcW w:w="685" w:type="pc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29" w:type="pct"/>
            <w:vMerge w:val="restart"/>
            <w:vAlign w:val="center"/>
          </w:tcPr>
          <w:p>
            <w:pPr>
              <w:adjustRightInd w:val="0"/>
              <w:snapToGrid w:val="0"/>
              <w:rPr>
                <w:spacing w:val="-6"/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>申请人同时符合多种条件的，分值累计计算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34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752" w:type="pct"/>
            <w:vAlign w:val="center"/>
          </w:tcPr>
          <w:p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硕士研究生</w:t>
            </w:r>
          </w:p>
        </w:tc>
        <w:tc>
          <w:tcPr>
            <w:tcW w:w="685" w:type="pc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29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34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752" w:type="pct"/>
            <w:vAlign w:val="center"/>
          </w:tcPr>
          <w:p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本科生</w:t>
            </w:r>
          </w:p>
        </w:tc>
        <w:tc>
          <w:tcPr>
            <w:tcW w:w="685" w:type="pc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29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34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752" w:type="pct"/>
            <w:vAlign w:val="center"/>
          </w:tcPr>
          <w:p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专科生</w:t>
            </w:r>
          </w:p>
        </w:tc>
        <w:tc>
          <w:tcPr>
            <w:tcW w:w="685" w:type="pc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29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34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职称类人才</w:t>
            </w:r>
          </w:p>
        </w:tc>
        <w:tc>
          <w:tcPr>
            <w:tcW w:w="2752" w:type="pct"/>
            <w:vAlign w:val="center"/>
          </w:tcPr>
          <w:p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正高级职称</w:t>
            </w:r>
          </w:p>
        </w:tc>
        <w:tc>
          <w:tcPr>
            <w:tcW w:w="685" w:type="pc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29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34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752" w:type="pct"/>
            <w:vAlign w:val="center"/>
          </w:tcPr>
          <w:p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副高级职称</w:t>
            </w:r>
          </w:p>
        </w:tc>
        <w:tc>
          <w:tcPr>
            <w:tcW w:w="685" w:type="pc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29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34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752" w:type="pct"/>
            <w:vAlign w:val="center"/>
          </w:tcPr>
          <w:p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中级职称</w:t>
            </w:r>
          </w:p>
        </w:tc>
        <w:tc>
          <w:tcPr>
            <w:tcW w:w="685" w:type="pc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29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34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752" w:type="pct"/>
            <w:vAlign w:val="center"/>
          </w:tcPr>
          <w:p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初级职称</w:t>
            </w:r>
          </w:p>
        </w:tc>
        <w:tc>
          <w:tcPr>
            <w:tcW w:w="685" w:type="pc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29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34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技能类人才</w:t>
            </w:r>
          </w:p>
        </w:tc>
        <w:tc>
          <w:tcPr>
            <w:tcW w:w="2752" w:type="pct"/>
            <w:vAlign w:val="center"/>
          </w:tcPr>
          <w:p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高级技师</w:t>
            </w:r>
          </w:p>
        </w:tc>
        <w:tc>
          <w:tcPr>
            <w:tcW w:w="685" w:type="pc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29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34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752" w:type="pct"/>
            <w:vAlign w:val="center"/>
          </w:tcPr>
          <w:p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技师</w:t>
            </w:r>
          </w:p>
        </w:tc>
        <w:tc>
          <w:tcPr>
            <w:tcW w:w="685" w:type="pc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29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34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752" w:type="pct"/>
            <w:vAlign w:val="center"/>
          </w:tcPr>
          <w:p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高级工</w:t>
            </w:r>
          </w:p>
        </w:tc>
        <w:tc>
          <w:tcPr>
            <w:tcW w:w="685" w:type="pc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29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34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752" w:type="pct"/>
            <w:vAlign w:val="center"/>
          </w:tcPr>
          <w:p>
            <w:pPr>
              <w:adjustRightInd w:val="0"/>
              <w:snapToGrid w:val="0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中级工</w:t>
            </w:r>
          </w:p>
        </w:tc>
        <w:tc>
          <w:tcPr>
            <w:tcW w:w="685" w:type="pc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29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83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创业类人才</w:t>
            </w:r>
          </w:p>
        </w:tc>
        <w:tc>
          <w:tcPr>
            <w:tcW w:w="2752" w:type="pct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企业聘用员工缴纳社保人数，每有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人加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685" w:type="pct"/>
            <w:vAlign w:val="center"/>
          </w:tcPr>
          <w:p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</w:t>
            </w:r>
            <w:r>
              <w:rPr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729" w:type="pc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加分项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56A75"/>
    <w:rsid w:val="22D56A75"/>
    <w:rsid w:val="4FEC78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2021-09-09T08:26:00Z</dcterms:created>
  <dc:creator>胶东在线 刘雪平</dc:creator>
  <cp:lastModifiedBy>胶东在线 刘雪平</cp:lastModifiedBy>
  <dcterms:modified xsi:type="dcterms:W3CDTF">2021-09-09T08:27:33Z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C1DD3B3E864A4356A054B3D3937E3CA0</vt:lpwstr>
  </property>
</Properties>
</file>